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94"/>
        <w:gridCol w:w="3584"/>
        <w:gridCol w:w="2042"/>
      </w:tblGrid>
      <w:tr>
        <w:trPr/>
        <w:tc>
          <w:tcPr>
            <w:tcW w:w="872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plan              </w:t>
            </w:r>
            <w:r>
              <w:rPr>
                <w:b/>
                <w:bCs/>
              </w:rPr>
              <w:t xml:space="preserve">                            2021--22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(21 March 2022 to 1 July 2022)</w:t>
            </w:r>
            <w:r>
              <w:rPr>
                <w:b/>
                <w:bCs/>
              </w:rPr>
              <w:t xml:space="preserve"> Even Sem.</w:t>
            </w: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A</w:t>
            </w:r>
            <w:r>
              <w:rPr>
                <w:b/>
                <w:bCs/>
              </w:rPr>
              <w:t>ssistant professor</w:t>
            </w:r>
          </w:p>
        </w:tc>
        <w:tc>
          <w:tcPr>
            <w:tcW w:w="5626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Richa</w:t>
            </w: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5626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B.com 2nd year</w:t>
            </w: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5626" w:type="dxa"/>
            <w:gridSpan w:val="2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Business statistics </w:t>
            </w: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Week, Month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Status/Remarks</w:t>
            </w: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1 , 21 to 26 March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Index no.-1method of Index number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2, 28 March to 2 April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Index nuber-2 CBI,FBI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3, 4 April to 9 April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Practical of Index no.2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4, 11 April to 16 April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Analysis of time series,components of time series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5, 18 April to 23 April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Decomposition additive, multiplication models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6, 25 April  to 30 April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Method of least square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  <w:bookmarkStart w:id="0" w:name="_GoBack"/>
          <w:bookmarkEnd w:id="0"/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7, 2 May to 7 May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Ratio to trend,ratio to moving average and link relative methods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 xml:space="preserve">Week 8, 9 May to 14 May 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Theory of probability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 xml:space="preserve">Week 9, 16 May to 21 May 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Concept ,approach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 xml:space="preserve">Week 10, 23 May to 28 May 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Revision of all syllabus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 xml:space="preserve">Week 11, 30 May </w:t>
            </w:r>
            <w:r>
              <w:t xml:space="preserve">to </w:t>
            </w:r>
            <w:r>
              <w:t>4 June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Test of unit 1,2 and assignments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12, 6 June</w:t>
            </w:r>
            <w:r>
              <w:t xml:space="preserve"> to </w:t>
            </w:r>
            <w:r>
              <w:t>11 June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Conditional probability, Bayes theorem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13, 13 June to 18 June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Probability distribution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14, 20 June</w:t>
            </w:r>
            <w:r>
              <w:t xml:space="preserve"> to</w:t>
            </w:r>
            <w:r>
              <w:t xml:space="preserve"> 25 June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Binomial,poisson,normal distribution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094" w:type="dxa"/>
            <w:tcBorders/>
          </w:tcPr>
          <w:p>
            <w:pPr>
              <w:pStyle w:val="style0"/>
              <w:rPr/>
            </w:pPr>
            <w:r>
              <w:t>Week 15, 27 June</w:t>
            </w:r>
            <w:r>
              <w:t xml:space="preserve"> to </w:t>
            </w:r>
            <w:r>
              <w:t>1 July</w:t>
            </w:r>
          </w:p>
        </w:tc>
        <w:tc>
          <w:tcPr>
            <w:tcW w:w="358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Test of 3,4 unit and assignment </w:t>
            </w:r>
          </w:p>
        </w:tc>
        <w:tc>
          <w:tcPr>
            <w:tcW w:w="2042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1907" w:h="16839" w:orient="portrait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mirrorMargin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10"/>
  <w:drawingGridVerticalSpacing w:val="299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lang w:val="en-IN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200</Words>
  <Pages>1</Pages>
  <Characters>882</Characters>
  <Application>WPS Office</Application>
  <DocSecurity>0</DocSecurity>
  <Paragraphs>76</Paragraphs>
  <ScaleCrop>false</ScaleCrop>
  <Company>Microsoft</Company>
  <LinksUpToDate>false</LinksUpToDate>
  <CharactersWithSpaces>1096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2018-09-24T12:05:00Z</dcterms:created>
  <dc:creator>dell</dc:creator>
  <lastModifiedBy>SM-A507FN</lastModifiedBy>
  <dcterms:modified xsi:type="dcterms:W3CDTF">2022-04-12T07:41:30Z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4f4544aa750942a188a6b5bfc917638e</vt:lpwstr>
  </property>
</Properties>
</file>